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DA9E4">
      <w:pPr>
        <w:jc w:val="center"/>
        <w:rPr>
          <w:rFonts w:ascii="仿宋_GB2312"/>
          <w:sz w:val="32"/>
          <w:szCs w:val="32"/>
        </w:rPr>
      </w:pPr>
      <w:r>
        <w:rPr>
          <w:rFonts w:hint="eastAsia" w:ascii="华文中宋" w:hAnsi="华文中宋" w:eastAsia="华文中宋" w:cs="Arial"/>
          <w:b/>
          <w:bCs/>
          <w:sz w:val="44"/>
          <w:szCs w:val="44"/>
          <w:lang w:eastAsia="zh-CN"/>
        </w:rPr>
        <w:t>大案要案查处</w:t>
      </w:r>
      <w:r>
        <w:rPr>
          <w:rFonts w:hint="eastAsia" w:ascii="华文中宋" w:hAnsi="华文中宋" w:eastAsia="华文中宋" w:cs="Arial"/>
          <w:b/>
          <w:bCs/>
          <w:sz w:val="44"/>
          <w:szCs w:val="44"/>
        </w:rPr>
        <w:t>项目支出</w:t>
      </w:r>
      <w:r>
        <w:rPr>
          <w:rFonts w:ascii="华文中宋" w:hAnsi="华文中宋" w:eastAsia="华文中宋" w:cs="Arial"/>
          <w:b/>
          <w:bCs/>
          <w:sz w:val="44"/>
          <w:szCs w:val="44"/>
        </w:rPr>
        <w:t>绩效</w:t>
      </w:r>
      <w:r>
        <w:rPr>
          <w:rFonts w:hint="eastAsia" w:ascii="华文中宋" w:hAnsi="华文中宋" w:eastAsia="华文中宋" w:cs="Arial"/>
          <w:b/>
          <w:bCs/>
          <w:sz w:val="44"/>
          <w:szCs w:val="44"/>
          <w:lang w:eastAsia="zh-CN"/>
        </w:rPr>
        <w:t>评价</w:t>
      </w:r>
      <w:r>
        <w:rPr>
          <w:rFonts w:hint="eastAsia" w:ascii="华文中宋" w:hAnsi="华文中宋" w:eastAsia="华文中宋" w:cs="Arial"/>
          <w:b/>
          <w:bCs/>
          <w:sz w:val="44"/>
          <w:szCs w:val="44"/>
        </w:rPr>
        <w:t>报告</w:t>
      </w:r>
    </w:p>
    <w:p w14:paraId="1397DE8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sz w:val="32"/>
          <w:szCs w:val="32"/>
        </w:rPr>
      </w:pPr>
    </w:p>
    <w:p w14:paraId="5C02B3D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rPr>
      </w:pPr>
      <w:r>
        <w:rPr>
          <w:rFonts w:hint="eastAsia" w:ascii="黑体" w:hAnsi="黑体" w:eastAsia="黑体"/>
          <w:sz w:val="32"/>
          <w:szCs w:val="32"/>
        </w:rPr>
        <w:t>一、基本情况</w:t>
      </w:r>
    </w:p>
    <w:p w14:paraId="11E2367A">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outlineLvl w:val="0"/>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（一）项目概况</w:t>
      </w:r>
    </w:p>
    <w:p w14:paraId="10F6D18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1.项目背景：</w:t>
      </w:r>
      <w:r>
        <w:rPr>
          <w:rFonts w:hint="eastAsia" w:ascii="仿宋_GB2312" w:eastAsia="仿宋_GB2312"/>
          <w:sz w:val="32"/>
          <w:szCs w:val="32"/>
        </w:rPr>
        <w:t>依据《关于纪检监察系统认真学习贯彻习近平总书记在十九届中央纪委二次全会上重要讲话精神的通知》（秘密件）、市委反腐败协调小组《关于开展对涉嫌违纪违法</w:t>
      </w:r>
      <w:r>
        <w:rPr>
          <w:rFonts w:hint="eastAsia" w:ascii="仿宋_GB2312" w:eastAsia="仿宋_GB2312"/>
          <w:sz w:val="32"/>
          <w:szCs w:val="32"/>
          <w:lang w:eastAsia="zh-CN"/>
        </w:rPr>
        <w:t>党员和</w:t>
      </w:r>
      <w:r>
        <w:rPr>
          <w:rFonts w:hint="eastAsia" w:ascii="仿宋_GB2312" w:eastAsia="仿宋_GB2312"/>
          <w:sz w:val="32"/>
          <w:szCs w:val="32"/>
        </w:rPr>
        <w:t>国家工作人员问题线索进行排查清理的通知》（秘密件）和市纪委《关于在扫黑除恶专项斗争中强化监督执纪问责的实施意见》宣纪发[2018]8号文等要求，区监察委成立与区纪委合署办公，监察对象范围扩大，党员领导干部涉法案件也一并由区纪委监委办理</w:t>
      </w:r>
      <w:r>
        <w:rPr>
          <w:rFonts w:hint="eastAsia" w:ascii="仿宋_GB2312" w:eastAsia="仿宋_GB2312"/>
          <w:sz w:val="32"/>
          <w:szCs w:val="32"/>
          <w:lang w:eastAsia="zh-CN"/>
        </w:rPr>
        <w:t>，每个对象</w:t>
      </w:r>
      <w:r>
        <w:rPr>
          <w:rFonts w:hint="eastAsia" w:ascii="仿宋_GB2312" w:eastAsia="仿宋_GB2312"/>
          <w:sz w:val="32"/>
          <w:szCs w:val="32"/>
          <w:lang w:val="en-US" w:eastAsia="zh-CN"/>
        </w:rPr>
        <w:t>1人，需专案组人员8人，外调人员2人，安全员4人，留置陪护人员20人，每个留置案件办理周期约70天。</w:t>
      </w:r>
    </w:p>
    <w:p w14:paraId="5516751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2.主要内容及实施情况：</w:t>
      </w:r>
      <w:r>
        <w:rPr>
          <w:rFonts w:hint="eastAsia" w:ascii="仿宋_GB2312" w:eastAsia="仿宋_GB2312"/>
          <w:sz w:val="32"/>
          <w:szCs w:val="32"/>
        </w:rPr>
        <w:t>区监察委成立与区纪委合署办公，监察对象范围扩大，党员领导干部涉法案件也一并由区纪委监委办理</w:t>
      </w:r>
      <w:r>
        <w:rPr>
          <w:rFonts w:hint="eastAsia" w:ascii="仿宋_GB2312" w:eastAsia="仿宋_GB2312"/>
          <w:sz w:val="32"/>
          <w:szCs w:val="32"/>
          <w:lang w:eastAsia="zh-CN"/>
        </w:rPr>
        <w:t>，每个对象</w:t>
      </w:r>
      <w:r>
        <w:rPr>
          <w:rFonts w:hint="eastAsia" w:ascii="仿宋_GB2312" w:eastAsia="仿宋_GB2312"/>
          <w:sz w:val="32"/>
          <w:szCs w:val="32"/>
          <w:lang w:val="en-US" w:eastAsia="zh-CN"/>
        </w:rPr>
        <w:t>1人，需专案组人员8人，外调人员2人，安全员4人，留置陪护人员20人，每个留置案件办理周期约70天。</w:t>
      </w:r>
    </w:p>
    <w:p w14:paraId="6259985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3.资金投入和使用情况：区财政预算的210万元经费及时到位，确保了大案要案查处工作顺利开展，保持惩治腐败的高压态势，巩固发展反腐败斗争压倒性胜利。项目已完成支出经费210万元。项目经费严格按照我委的财务制度和预算支出范围的使用。严格资金管理，切实保障资金的安全、规范；在资金拨付和发放方面，严格审批程序，确保手续完备。由区财政局统一核算，按照项目计划安排和实际工作情况开支，做到了专款专用，经费均按照有关文件、通知精神执行。</w:t>
      </w:r>
    </w:p>
    <w:p w14:paraId="6A2EA9DD">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sz w:val="32"/>
          <w:szCs w:val="32"/>
          <w:lang w:val="en-US" w:eastAsia="zh-CN"/>
        </w:rPr>
      </w:pPr>
      <w:r>
        <w:rPr>
          <w:rFonts w:hint="eastAsia" w:ascii="仿宋_GB2312" w:eastAsia="仿宋_GB2312"/>
          <w:b/>
          <w:bCs/>
          <w:sz w:val="32"/>
          <w:szCs w:val="32"/>
          <w:lang w:val="en-US" w:eastAsia="zh-CN"/>
        </w:rPr>
        <w:t>（二）项目绩效目标。</w:t>
      </w:r>
    </w:p>
    <w:p w14:paraId="36747A7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1.总体目标：依据中央及省市区纪委全会精神，有力消减存量、有效遏制增量，巩固发展反腐败斗争压倒性胜利。</w:t>
      </w:r>
    </w:p>
    <w:p w14:paraId="1BD0C36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2.阶段性目标：依据中央及省市区纪委全会精神，有力消减存量、有效遏制增量，巩固发展反腐败斗争压倒性胜利。  </w:t>
      </w:r>
    </w:p>
    <w:p w14:paraId="32BF8EC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rPr>
      </w:pPr>
      <w:r>
        <w:rPr>
          <w:rFonts w:hint="eastAsia" w:ascii="黑体" w:hAnsi="黑体" w:eastAsia="黑体"/>
          <w:sz w:val="32"/>
          <w:szCs w:val="32"/>
        </w:rPr>
        <w:t>二、绩效评价工作开展情况</w:t>
      </w:r>
    </w:p>
    <w:p w14:paraId="47D51987">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sz w:val="32"/>
          <w:szCs w:val="32"/>
          <w:lang w:val="en-US" w:eastAsia="zh-CN"/>
        </w:rPr>
      </w:pPr>
      <w:r>
        <w:rPr>
          <w:rFonts w:hint="eastAsia" w:ascii="仿宋_GB2312" w:eastAsia="仿宋_GB2312"/>
          <w:b/>
          <w:bCs/>
          <w:sz w:val="32"/>
          <w:szCs w:val="32"/>
          <w:lang w:val="en-US" w:eastAsia="zh-CN"/>
        </w:rPr>
        <w:t>（一）绩效评价目的、对象和范围。</w:t>
      </w:r>
    </w:p>
    <w:p w14:paraId="4D0DF10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绩效评价目的是通过对2025年度大案要案查处进行绩效评价，全面了解项目申报、项目管理、产出成果及效益效果等情况，全面掌握专项资金使用的真实性、合法性和效益性。通过绩效评价，发现问题，总结经验，提出建议，提高财政支出决策水平与项目预算资金使用效率，最大限度地发挥财政资金经济社会效益。绩效评价对象是中国共产党宣城市宣州区纪律检查委员会，范围是大案要案查处。</w:t>
      </w:r>
    </w:p>
    <w:p w14:paraId="6F54FAE6">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sz w:val="32"/>
          <w:szCs w:val="32"/>
          <w:lang w:val="en-US" w:eastAsia="zh-CN"/>
        </w:rPr>
      </w:pPr>
      <w:r>
        <w:rPr>
          <w:rFonts w:hint="eastAsia" w:ascii="仿宋_GB2312" w:eastAsia="仿宋_GB2312"/>
          <w:b/>
          <w:bCs/>
          <w:sz w:val="32"/>
          <w:szCs w:val="32"/>
          <w:lang w:val="en-US" w:eastAsia="zh-CN"/>
        </w:rPr>
        <w:t>（二）绩效评价原则、评价指标体系（附表说明）、评价方法、评价标准等。</w:t>
      </w:r>
    </w:p>
    <w:p w14:paraId="604269E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1.绩效评价原则：遵循科学公正、统筹兼顾、激励约束、公开透明原则。</w:t>
      </w:r>
    </w:p>
    <w:p w14:paraId="3CA2F48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2.项目绩效评价指标体系：主要依据宣州区财政局制定的项目支出绩效评价指标体系框架。</w:t>
      </w:r>
    </w:p>
    <w:p w14:paraId="4109A12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3.绩效评价方法：本次绩效评价分项目决策、项目过程、项目产出、项目效益四部分内容，通过对项目立项、绩效目标、资金投入、资金管理、组织实施、产出数量、产出质量、产出时效、产出成本、项目效益等方面的分析，结合对社会公众和服务对象进行满意度调查的方式，对项目支出进行绩效评价。</w:t>
      </w:r>
    </w:p>
    <w:p w14:paraId="3C46A9EE">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sz w:val="32"/>
          <w:szCs w:val="32"/>
          <w:lang w:val="en-US" w:eastAsia="zh-CN"/>
        </w:rPr>
      </w:pPr>
      <w:r>
        <w:rPr>
          <w:rFonts w:hint="eastAsia" w:ascii="仿宋_GB2312" w:eastAsia="仿宋_GB2312"/>
          <w:b/>
          <w:bCs/>
          <w:sz w:val="32"/>
          <w:szCs w:val="32"/>
          <w:lang w:val="en-US" w:eastAsia="zh-CN"/>
        </w:rPr>
        <w:t>（三）绩效评价工作过程。</w:t>
      </w:r>
    </w:p>
    <w:p w14:paraId="0DF9CC0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1.业务管理。具体如下: (1)管理制度健全性:我单位已制定相关业务管理制度，管理制度合法、合规、完整;(2) 项目质量可控性:在实施过程中定期或不定期的组织进行巡查或者暗访，查出问题下达整改通知单督促整改。</w:t>
      </w:r>
    </w:p>
    <w:p w14:paraId="6BC856F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2.财务管理。项目资金做到专款专用，不截留、挤占、挪用。单独设置科目专项核算，项目资金安全，按预算批复规定的用途使用。</w:t>
      </w:r>
    </w:p>
    <w:p w14:paraId="6D3A170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3.会计信息管理。具体如下: (1)信息规范性:项目相关的会计核算均严格按照财政规定规范入账; (2) 信息完整性:项目相关会计核算资料完整。</w:t>
      </w:r>
    </w:p>
    <w:p w14:paraId="290C9FFB">
      <w:pPr>
        <w:autoSpaceDE/>
        <w:autoSpaceDN/>
        <w:adjustRightInd/>
        <w:spacing w:line="592" w:lineRule="exact"/>
        <w:ind w:firstLine="640" w:firstLineChars="200"/>
        <w:rPr>
          <w:rFonts w:hint="eastAsia" w:ascii="黑体" w:hAnsi="黑体" w:eastAsia="黑体"/>
          <w:sz w:val="32"/>
          <w:szCs w:val="24"/>
          <w:lang w:val="en-US" w:eastAsia="zh-CN"/>
        </w:rPr>
      </w:pPr>
      <w:r>
        <w:rPr>
          <w:rFonts w:hint="eastAsia" w:ascii="黑体" w:hAnsi="黑体" w:eastAsia="黑体"/>
          <w:sz w:val="32"/>
          <w:szCs w:val="24"/>
          <w:lang w:val="en-US" w:eastAsia="zh-CN"/>
        </w:rPr>
        <w:t>三、综合评价情况及评价结论（附相关评分表）</w:t>
      </w:r>
    </w:p>
    <w:p w14:paraId="4FBC7B41">
      <w:pPr>
        <w:autoSpaceDE/>
        <w:autoSpaceDN/>
        <w:adjustRightInd/>
        <w:spacing w:line="592" w:lineRule="exact"/>
        <w:ind w:firstLine="640" w:firstLineChars="200"/>
        <w:rPr>
          <w:rFonts w:hint="eastAsia" w:ascii="仿宋_GB2312" w:eastAsia="仿宋_GB2312"/>
          <w:sz w:val="32"/>
          <w:szCs w:val="24"/>
          <w:lang w:val="en-US" w:eastAsia="zh-CN"/>
        </w:rPr>
      </w:pPr>
      <w:r>
        <w:rPr>
          <w:rFonts w:hint="eastAsia" w:ascii="仿宋_GB2312" w:eastAsia="仿宋_GB2312"/>
          <w:sz w:val="32"/>
          <w:szCs w:val="24"/>
          <w:lang w:val="en-US" w:eastAsia="zh-CN"/>
        </w:rPr>
        <w:t>根据对项目绩效评价指标体系各项评分指标的分析，中国共产党宣城市宣州区纪律检查委员会在项目决策、项目过程方面表现良好。在项目产出方面，中国共产党宣城市宣州区纪律检查委员会完成了年度工作计划各项工作，实现了预期目标。根据对社会</w:t>
      </w:r>
      <w:bookmarkStart w:id="0" w:name="_GoBack"/>
      <w:bookmarkEnd w:id="0"/>
      <w:r>
        <w:rPr>
          <w:rFonts w:hint="eastAsia" w:ascii="仿宋_GB2312" w:eastAsia="仿宋_GB2312"/>
          <w:sz w:val="32"/>
          <w:szCs w:val="24"/>
          <w:lang w:val="en-US" w:eastAsia="zh-CN"/>
        </w:rPr>
        <w:t>公众和服务对象满意度调查问卷的汇总统计分析，该项目也取得了良好的社会效益。综合以上情况，中国共产党宣城市宣州区纪律检查委员会2025年大案要案查处项目支出绩效评价得分100分。</w:t>
      </w:r>
    </w:p>
    <w:p w14:paraId="5EB4CBA1">
      <w:pPr>
        <w:autoSpaceDE/>
        <w:autoSpaceDN/>
        <w:adjustRightInd/>
        <w:spacing w:line="592" w:lineRule="exact"/>
        <w:ind w:firstLine="640" w:firstLineChars="200"/>
        <w:rPr>
          <w:rFonts w:hint="eastAsia" w:ascii="仿宋_GB2312" w:eastAsia="仿宋_GB2312"/>
          <w:sz w:val="32"/>
          <w:szCs w:val="24"/>
          <w:lang w:val="en-US" w:eastAsia="zh-CN"/>
        </w:rPr>
      </w:pPr>
      <w:r>
        <w:rPr>
          <w:rFonts w:hint="eastAsia" w:ascii="仿宋_GB2312" w:eastAsia="仿宋_GB2312"/>
          <w:sz w:val="32"/>
          <w:szCs w:val="24"/>
          <w:lang w:val="en-US" w:eastAsia="zh-CN"/>
        </w:rPr>
        <w:t>绩效评分表见附件《大案要案查处—项目支出绩效自评表》。</w:t>
      </w:r>
    </w:p>
    <w:p w14:paraId="57B654C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四、绩效评价指标分析</w:t>
      </w:r>
    </w:p>
    <w:p w14:paraId="25C6221E">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sz w:val="32"/>
          <w:szCs w:val="32"/>
          <w:lang w:eastAsia="zh-CN"/>
        </w:rPr>
      </w:pPr>
      <w:r>
        <w:rPr>
          <w:rFonts w:hint="eastAsia" w:ascii="仿宋_GB2312" w:eastAsia="仿宋_GB2312"/>
          <w:b/>
          <w:bCs/>
          <w:sz w:val="32"/>
          <w:szCs w:val="32"/>
          <w:lang w:eastAsia="zh-CN"/>
        </w:rPr>
        <w:t>（一）</w:t>
      </w:r>
      <w:r>
        <w:rPr>
          <w:rFonts w:hint="eastAsia" w:ascii="仿宋_GB2312" w:eastAsia="仿宋_GB2312"/>
          <w:b/>
          <w:bCs/>
          <w:sz w:val="32"/>
          <w:szCs w:val="32"/>
        </w:rPr>
        <w:t>项目绩效目标完成情况分析</w:t>
      </w:r>
    </w:p>
    <w:p w14:paraId="110F809B">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1.数量指标：</w:t>
      </w:r>
      <w:r>
        <w:rPr>
          <w:rFonts w:hint="eastAsia" w:ascii="仿宋" w:hAnsi="仿宋" w:eastAsia="仿宋" w:cs="仿宋"/>
          <w:color w:val="auto"/>
          <w:sz w:val="30"/>
          <w:szCs w:val="30"/>
          <w:lang w:val="en-US" w:eastAsia="zh-CN"/>
        </w:rPr>
        <w:t>办理留置案件</w:t>
      </w:r>
      <w:r>
        <w:rPr>
          <w:rFonts w:hint="eastAsia" w:ascii="宋体" w:hAnsi="宋体" w:eastAsia="宋体" w:cs="宋体"/>
          <w:color w:val="auto"/>
          <w:sz w:val="30"/>
          <w:szCs w:val="30"/>
          <w:lang w:val="en-US" w:eastAsia="zh-CN"/>
        </w:rPr>
        <w:t>≧</w:t>
      </w:r>
      <w:r>
        <w:rPr>
          <w:rFonts w:hint="eastAsia" w:ascii="仿宋" w:hAnsi="仿宋" w:eastAsia="仿宋" w:cs="仿宋"/>
          <w:color w:val="auto"/>
          <w:sz w:val="30"/>
          <w:szCs w:val="30"/>
          <w:lang w:val="en-US" w:eastAsia="zh-CN"/>
        </w:rPr>
        <w:t>8起；留置案件办结数</w:t>
      </w:r>
      <w:r>
        <w:rPr>
          <w:rFonts w:hint="eastAsia" w:ascii="宋体" w:hAnsi="宋体" w:eastAsia="宋体" w:cs="宋体"/>
          <w:color w:val="auto"/>
          <w:sz w:val="30"/>
          <w:szCs w:val="30"/>
          <w:lang w:val="en-US" w:eastAsia="zh-CN"/>
        </w:rPr>
        <w:t>≧</w:t>
      </w:r>
      <w:r>
        <w:rPr>
          <w:rFonts w:hint="eastAsia" w:ascii="仿宋" w:hAnsi="仿宋" w:eastAsia="仿宋" w:cs="仿宋"/>
          <w:color w:val="auto"/>
          <w:sz w:val="30"/>
          <w:szCs w:val="30"/>
          <w:lang w:val="en-US" w:eastAsia="zh-CN"/>
        </w:rPr>
        <w:t>8起。</w:t>
      </w:r>
    </w:p>
    <w:p w14:paraId="2E7DDB40">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2.</w:t>
      </w:r>
      <w:r>
        <w:rPr>
          <w:rFonts w:hint="default" w:ascii="仿宋_GB2312" w:eastAsia="仿宋_GB2312"/>
          <w:sz w:val="32"/>
          <w:szCs w:val="32"/>
          <w:lang w:val="en-US" w:eastAsia="zh-CN"/>
        </w:rPr>
        <w:t>质量指标</w:t>
      </w:r>
      <w:r>
        <w:rPr>
          <w:rFonts w:hint="eastAsia" w:ascii="仿宋_GB2312" w:eastAsia="仿宋_GB2312"/>
          <w:sz w:val="32"/>
          <w:szCs w:val="32"/>
          <w:lang w:val="en-US" w:eastAsia="zh-CN"/>
        </w:rPr>
        <w:t>：</w:t>
      </w:r>
      <w:r>
        <w:rPr>
          <w:rFonts w:hint="eastAsia" w:ascii="仿宋_GB2312" w:eastAsia="仿宋_GB2312" w:cs="Times New Roman"/>
          <w:sz w:val="32"/>
          <w:szCs w:val="32"/>
          <w:lang w:val="en-US" w:eastAsia="zh-CN"/>
        </w:rPr>
        <w:t>结案率100%；监督检查覆盖率100%；经费支出合规性合规。</w:t>
      </w:r>
    </w:p>
    <w:p w14:paraId="445E07F0">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3.</w:t>
      </w:r>
      <w:r>
        <w:rPr>
          <w:rFonts w:hint="default" w:ascii="仿宋_GB2312" w:eastAsia="仿宋_GB2312"/>
          <w:sz w:val="32"/>
          <w:szCs w:val="32"/>
          <w:lang w:val="en-US" w:eastAsia="zh-CN"/>
        </w:rPr>
        <w:t>时效指标</w:t>
      </w:r>
      <w:r>
        <w:rPr>
          <w:rFonts w:hint="eastAsia" w:ascii="仿宋_GB2312" w:eastAsia="仿宋_GB2312"/>
          <w:sz w:val="32"/>
          <w:szCs w:val="32"/>
          <w:lang w:val="en-US" w:eastAsia="zh-CN"/>
        </w:rPr>
        <w:t>：案件进度执行小于等于12个月。</w:t>
      </w:r>
    </w:p>
    <w:p w14:paraId="313B1A0C">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4.成本指标：项目总成本210万。</w:t>
      </w:r>
    </w:p>
    <w:p w14:paraId="2C62499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sz w:val="32"/>
          <w:szCs w:val="32"/>
        </w:rPr>
      </w:pPr>
      <w:r>
        <w:rPr>
          <w:rFonts w:hint="eastAsia" w:ascii="仿宋_GB2312" w:eastAsia="仿宋_GB2312"/>
          <w:b/>
          <w:bCs/>
          <w:sz w:val="32"/>
          <w:szCs w:val="32"/>
          <w:lang w:eastAsia="zh-CN"/>
        </w:rPr>
        <w:t>（二）</w:t>
      </w:r>
      <w:r>
        <w:rPr>
          <w:rFonts w:hint="eastAsia" w:ascii="仿宋_GB2312" w:eastAsia="仿宋_GB2312"/>
          <w:b/>
          <w:bCs/>
          <w:sz w:val="32"/>
          <w:szCs w:val="32"/>
        </w:rPr>
        <w:t>项目效益情况</w:t>
      </w:r>
    </w:p>
    <w:p w14:paraId="1C241D2C">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1.社会效益指标:对监督检查及能力的提升程度较高；对党委政府重大决策支撑的影响程度较高。</w:t>
      </w:r>
    </w:p>
    <w:p w14:paraId="3730F3D8">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2.可持续影响指标:对提升监督检查水平及能力的持续影响程度较高。</w:t>
      </w:r>
    </w:p>
    <w:p w14:paraId="1D996EA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五、主要经验及做法、存在的问题及原因分析</w:t>
      </w:r>
    </w:p>
    <w:p w14:paraId="731F029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经费预算编制科学性不足，大案要案查办存在突发性、不确定性，年初预算编制难以精准预判办案取证、外出核查、技术支撑、案卷印制等实际支出，导致部分时段资金结余或缺口并存，预算执行精准度不高。资金使用规范性有待加强，个别办案经费报销附件不够完善、支出明细归类不够精准，经费使用全过程台账记录不够细致。资金绩效意识薄弱，重经费保障、轻效益评估，对财政资金投入与办案成效、治理成效的匹配度分析不足，资金使用效益未能最大化。</w:t>
      </w:r>
    </w:p>
    <w:p w14:paraId="0035918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六、有关建议</w:t>
      </w:r>
    </w:p>
    <w:p w14:paraId="3F803BB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eastAsia="仿宋_GB2312"/>
          <w:sz w:val="32"/>
          <w:szCs w:val="32"/>
          <w:lang w:val="en-US" w:eastAsia="zh-CN"/>
        </w:rPr>
      </w:pPr>
      <w:r>
        <w:rPr>
          <w:rFonts w:hint="eastAsia" w:ascii="仿宋_GB2312" w:eastAsia="仿宋_GB2312" w:hAnsiTheme="minorHAnsi" w:cstheme="minorBidi"/>
          <w:b w:val="0"/>
          <w:bCs w:val="0"/>
          <w:kern w:val="2"/>
          <w:sz w:val="32"/>
          <w:szCs w:val="32"/>
          <w:lang w:val="en-US" w:eastAsia="zh-CN" w:bidi="ar-SA"/>
        </w:rPr>
        <w:t>精准细化绩效指标，完善目标管理体系。结合大案要案突发性、复杂性、专业性特点，优化绩效目标和指标体系，摒弃笼统化、模板化表述。细化量化核心指标，明确案件办结率、按期结案率、卷宗规范合格率、挽回经济损失金额、警示教育场次、问题整改完成率、制度完善数量等量化指标；补充定性质量指标，重点完善办案规范化、风险治理、队伍建设、廉政治理成效等软性考核指标。建立绩效目标动态调整机制，根据年度办案重点、案件推进实际情况，适时优化调整考核指标，确保绩效目标贴合工作实际、可量化、可考核、可落地。</w:t>
      </w:r>
    </w:p>
    <w:p w14:paraId="337200F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七、其他需要说明的问题</w:t>
      </w:r>
    </w:p>
    <w:p w14:paraId="4D1F459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暂无。</w:t>
      </w:r>
    </w:p>
    <w:p w14:paraId="26FEB57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lang w:val="en-US" w:eastAsia="zh-CN"/>
        </w:rPr>
      </w:pPr>
    </w:p>
    <w:p w14:paraId="651672C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64AC8"/>
    <w:rsid w:val="0E6F20D1"/>
    <w:rsid w:val="12D02090"/>
    <w:rsid w:val="131914D3"/>
    <w:rsid w:val="40DD6A39"/>
    <w:rsid w:val="595905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2"/>
    <w:basedOn w:val="1"/>
    <w:semiHidden/>
    <w:qFormat/>
    <w:uiPriority w:val="0"/>
    <w:pPr>
      <w:spacing w:line="480" w:lineRule="auto"/>
      <w:ind w:left="420" w:leftChars="200"/>
    </w:p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2304</Words>
  <Characters>2363</Characters>
  <Lines>0</Lines>
  <Paragraphs>0</Paragraphs>
  <TotalTime>16</TotalTime>
  <ScaleCrop>false</ScaleCrop>
  <LinksUpToDate>false</LinksUpToDate>
  <CharactersWithSpaces>2370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2026-08-31T02:37:00Z</dcterms:created>
  <dc:creator>Administrator</dc:creator>
  <cp:lastModifiedBy>小凡凡</cp:lastModifiedBy>
  <dcterms:modified xsi:type="dcterms:W3CDTF">2026-09-07T08:22:56Z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eyJoZGlkIjoiNjA5YTFlMjYxNzdjNWRlYWFhN2M0NDg5NGI5OGMzNTYiLCJ1c2VySWQiOiIyMTkwODk4OTQifQ==</vt:lpwstr>
  </property>
  <property fmtid="{D5CDD505-2E9C-101B-9397-08002B2CF9AE}" pid="4" name="ICV">
    <vt:lpwstr>BBAC6B829F044DF9900AD3495087EDF6_12</vt:lpwstr>
  </property>
</Properties>
</file>